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41" w:rightFromText="141" w:tblpX="0" w:tblpY="2671" w:topFromText="0" w:vertAnchor="page"/>
        <w:tblW w:w="9232"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3707"/>
        <w:gridCol w:w="5524"/>
      </w:tblGrid>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 xml:space="preserve">Code UE </w:t>
            </w:r>
            <w:r>
              <w:rPr>
                <w:rFonts w:cs="Times New Roman"/>
                <w:b/>
                <w:color w:val="FF0000"/>
                <w:sz w:val="22"/>
                <w:szCs w:val="22"/>
              </w:rPr>
              <w:t>*</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cs="Times New Roman"/>
                <w:color w:val="000000"/>
                <w:sz w:val="22"/>
                <w:szCs w:val="22"/>
              </w:rPr>
            </w:pPr>
            <w:r>
              <w:rPr>
                <w:rFonts w:cs="Times New Roman"/>
                <w:color w:val="000000"/>
                <w:sz w:val="22"/>
                <w:szCs w:val="22"/>
              </w:rPr>
              <w:t>NX11768 et NX4857</w:t>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 xml:space="preserve">Intitulé complet de l’UE </w:t>
            </w:r>
            <w:r>
              <w:rPr>
                <w:rFonts w:cs="Times New Roman"/>
                <w:b/>
                <w:color w:val="FF0000"/>
                <w:sz w:val="22"/>
                <w:szCs w:val="22"/>
              </w:rPr>
              <w:t>*</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cs="Times New Roman"/>
                <w:sz w:val="22"/>
                <w:szCs w:val="22"/>
                <w:lang w:val="fr-FR"/>
              </w:rPr>
            </w:pPr>
            <w:r>
              <w:rPr>
                <w:rFonts w:cs="Times New Roman"/>
                <w:sz w:val="22"/>
                <w:szCs w:val="22"/>
                <w:lang w:val="fr-FR"/>
              </w:rPr>
              <w:t>Recherche en histoire culturelle et sociale du Moyen Âge</w:t>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 xml:space="preserve">Enseignant(e)s responsible(s) </w:t>
            </w:r>
            <w:r>
              <w:rPr>
                <w:rFonts w:cs="Times New Roman"/>
                <w:b/>
                <w:color w:val="FF0000"/>
                <w:sz w:val="22"/>
                <w:szCs w:val="22"/>
              </w:rPr>
              <w:t>*</w:t>
            </w:r>
          </w:p>
          <w:p>
            <w:pPr>
              <w:pStyle w:val="Normal"/>
              <w:widowControl w:val="false"/>
              <w:snapToGrid w:val="false"/>
              <w:rPr>
                <w:rFonts w:cs="Times New Roman"/>
                <w:b/>
                <w:b/>
                <w:sz w:val="22"/>
                <w:szCs w:val="22"/>
                <w:lang w:val="fr-FR"/>
              </w:rPr>
            </w:pPr>
            <w:r>
              <w:rPr>
                <w:rFonts w:cs="Times New Roman"/>
                <w:b/>
                <w:sz w:val="22"/>
                <w:szCs w:val="22"/>
                <w:lang w:val="fr-FR"/>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lang w:val="fr-FR"/>
              </w:rPr>
            </w:pPr>
            <w:r>
              <w:rPr>
                <w:rFonts w:cs="Times New Roman"/>
                <w:sz w:val="22"/>
                <w:szCs w:val="22"/>
                <w:lang w:val="fr-FR"/>
              </w:rPr>
              <w:t>Pierre Chastang, Maaike van der Lugt, Catherine Rideau-Kikuchi</w:t>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Enseignant(e)s dispensant l’UE</w:t>
            </w:r>
          </w:p>
          <w:p>
            <w:pPr>
              <w:pStyle w:val="Normal"/>
              <w:widowControl w:val="false"/>
              <w:snapToGrid w:val="false"/>
              <w:rPr>
                <w:rFonts w:cs="Times New Roman"/>
                <w:bCs/>
                <w:i/>
                <w:i/>
                <w:iCs/>
                <w:sz w:val="22"/>
                <w:szCs w:val="22"/>
              </w:rPr>
            </w:pPr>
            <w:r>
              <w:rPr>
                <w:rFonts w:cs="Times New Roman"/>
                <w:bCs/>
                <w:i/>
                <w:iCs/>
                <w:sz w:val="22"/>
                <w:szCs w:val="22"/>
              </w:rPr>
              <w:t>(à remplir si plusieurs)</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lang w:val="fr-FR"/>
              </w:rPr>
            </w:pPr>
            <w:r>
              <w:rPr>
                <w:rFonts w:cs="Times New Roman"/>
                <w:sz w:val="22"/>
                <w:szCs w:val="22"/>
                <w:lang w:val="fr-FR"/>
              </w:rPr>
              <w:t>Pierre Chastang, Maaike van der Lugt, Catherine Rideau-Kikuchi</w:t>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lang w:val="fr-FR"/>
              </w:rPr>
            </w:pPr>
            <w:r>
              <w:rPr>
                <w:rFonts w:cs="Times New Roman"/>
                <w:b/>
                <w:sz w:val="22"/>
                <w:szCs w:val="22"/>
                <w:lang w:val="fr-FR"/>
              </w:rPr>
            </w:r>
          </w:p>
          <w:p>
            <w:pPr>
              <w:pStyle w:val="Normal"/>
              <w:widowControl w:val="false"/>
              <w:snapToGrid w:val="false"/>
              <w:rPr>
                <w:rFonts w:cs="Times New Roman"/>
                <w:b/>
                <w:b/>
                <w:sz w:val="22"/>
                <w:szCs w:val="22"/>
                <w:lang w:val="fr-FR"/>
              </w:rPr>
            </w:pPr>
            <w:r>
              <w:rPr>
                <w:rFonts w:cs="Times New Roman"/>
                <w:b/>
                <w:sz w:val="22"/>
                <w:szCs w:val="22"/>
                <w:lang w:val="fr-FR"/>
              </w:rPr>
              <w:t xml:space="preserve">Parcours dans lequel s’inscrit l’UE </w:t>
            </w:r>
            <w:r>
              <w:rPr>
                <w:rFonts w:cs="Times New Roman"/>
                <w:b/>
                <w:color w:val="FF0000"/>
                <w:sz w:val="22"/>
                <w:szCs w:val="22"/>
              </w:rPr>
              <w:t>*</w:t>
            </w:r>
          </w:p>
          <w:p>
            <w:pPr>
              <w:pStyle w:val="Normal"/>
              <w:widowControl w:val="false"/>
              <w:snapToGrid w:val="false"/>
              <w:rPr>
                <w:rFonts w:cs="Times New Roman"/>
                <w:b/>
                <w:b/>
                <w:sz w:val="22"/>
                <w:szCs w:val="22"/>
                <w:lang w:val="fr-FR"/>
              </w:rPr>
            </w:pPr>
            <w:r>
              <w:rPr>
                <w:rFonts w:cs="Times New Roman"/>
                <w:b/>
                <w:sz w:val="22"/>
                <w:szCs w:val="22"/>
                <w:lang w:val="fr-FR"/>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lang w:val="fr-FR"/>
              </w:rPr>
            </w:pPr>
            <w:r>
              <w:rPr>
                <w:rFonts w:cs="Times New Roman"/>
                <w:sz w:val="22"/>
                <w:szCs w:val="22"/>
                <w:lang w:val="fr-FR"/>
              </w:rPr>
              <w:t>M1 et M2 HCS</w:t>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 xml:space="preserve">Semestre </w:t>
            </w:r>
            <w:r>
              <w:rPr>
                <w:rFonts w:cs="Times New Roman"/>
                <w:b/>
                <w:color w:val="FF0000"/>
                <w:sz w:val="22"/>
                <w:szCs w:val="22"/>
              </w:rPr>
              <w:t>*</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rPr>
            </w:pPr>
            <w:r>
              <w:rPr>
                <w:rFonts w:cs="Times New Roman"/>
                <w:sz w:val="22"/>
                <w:szCs w:val="22"/>
              </w:rPr>
              <w:t>S1 et S3</w:t>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 xml:space="preserve">Nombre total d’ECTS </w:t>
            </w:r>
            <w:r>
              <w:rPr>
                <w:rFonts w:cs="Times New Roman"/>
                <w:b/>
                <w:color w:val="FF0000"/>
                <w:sz w:val="22"/>
                <w:szCs w:val="22"/>
              </w:rPr>
              <w:t>*</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rPr>
            </w:pPr>
            <w:r>
              <w:rPr>
                <w:rFonts w:cs="Times New Roman"/>
                <w:sz w:val="22"/>
                <w:szCs w:val="22"/>
              </w:rPr>
              <w:t>4</w:t>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lang w:val="fr-FR"/>
              </w:rPr>
            </w:pPr>
            <w:r>
              <w:rPr>
                <w:rFonts w:cs="Times New Roman"/>
                <w:b/>
                <w:sz w:val="22"/>
                <w:szCs w:val="22"/>
                <w:lang w:val="fr-FR"/>
              </w:rPr>
            </w:r>
          </w:p>
          <w:p>
            <w:pPr>
              <w:pStyle w:val="Normal"/>
              <w:widowControl w:val="false"/>
              <w:snapToGrid w:val="false"/>
              <w:rPr>
                <w:rFonts w:cs="Times New Roman"/>
                <w:b/>
                <w:b/>
                <w:sz w:val="22"/>
                <w:szCs w:val="22"/>
                <w:lang w:val="fr-FR"/>
              </w:rPr>
            </w:pPr>
            <w:r>
              <w:rPr>
                <w:rFonts w:cs="Times New Roman"/>
                <w:b/>
                <w:sz w:val="22"/>
                <w:szCs w:val="22"/>
                <w:lang w:val="fr-FR"/>
              </w:rPr>
              <w:t xml:space="preserve">Langue(s) d’enseignement </w:t>
            </w:r>
            <w:r>
              <w:rPr>
                <w:rFonts w:cs="Times New Roman"/>
                <w:b/>
                <w:color w:val="FF0000"/>
                <w:sz w:val="22"/>
                <w:szCs w:val="22"/>
              </w:rPr>
              <w:t>*</w:t>
            </w:r>
          </w:p>
          <w:p>
            <w:pPr>
              <w:pStyle w:val="Normal"/>
              <w:widowControl w:val="false"/>
              <w:snapToGrid w:val="false"/>
              <w:rPr>
                <w:rFonts w:cs="Times New Roman"/>
                <w:b/>
                <w:b/>
                <w:sz w:val="22"/>
                <w:szCs w:val="22"/>
                <w:lang w:val="fr-FR"/>
              </w:rPr>
            </w:pPr>
            <w:r>
              <w:rPr>
                <w:rFonts w:cs="Times New Roman"/>
                <w:b/>
                <w:sz w:val="22"/>
                <w:szCs w:val="22"/>
                <w:lang w:val="fr-FR"/>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lang w:val="fr-FR"/>
              </w:rPr>
            </w:pPr>
            <w:r>
              <w:rPr>
                <w:rFonts w:cs="Times New Roman"/>
                <w:sz w:val="22"/>
                <w:szCs w:val="22"/>
                <w:lang w:val="fr-FR"/>
              </w:rPr>
              <w:t>français</w:t>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 xml:space="preserve">Volume horaire total </w:t>
            </w:r>
            <w:r>
              <w:rPr>
                <w:rFonts w:cs="Times New Roman"/>
                <w:b/>
                <w:color w:val="FF0000"/>
                <w:sz w:val="22"/>
                <w:szCs w:val="22"/>
              </w:rPr>
              <w:t>*</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rPr>
            </w:pPr>
            <w:r>
              <w:rPr>
                <w:rFonts w:cs="Times New Roman"/>
                <w:sz w:val="22"/>
                <w:szCs w:val="22"/>
              </w:rPr>
            </w:r>
          </w:p>
          <w:p>
            <w:pPr>
              <w:pStyle w:val="Normal"/>
              <w:widowControl w:val="false"/>
              <w:snapToGrid w:val="false"/>
              <w:rPr>
                <w:rFonts w:cs="Times New Roman"/>
                <w:sz w:val="22"/>
                <w:szCs w:val="22"/>
              </w:rPr>
            </w:pPr>
            <w:r>
              <w:rPr>
                <w:rFonts w:cs="Times New Roman"/>
                <w:sz w:val="22"/>
                <w:szCs w:val="22"/>
              </w:rPr>
              <w:t>CM =</w:t>
            </w:r>
            <w:r>
              <w:rPr>
                <w:rFonts w:cs="Times New Roman"/>
                <w:sz w:val="22"/>
                <w:szCs w:val="22"/>
              </w:rPr>
              <w:t>24</w:t>
            </w:r>
          </w:p>
          <w:p>
            <w:pPr>
              <w:pStyle w:val="Normal"/>
              <w:widowControl w:val="false"/>
              <w:snapToGrid w:val="false"/>
              <w:rPr>
                <w:rFonts w:cs="Times New Roman"/>
                <w:sz w:val="22"/>
                <w:szCs w:val="22"/>
              </w:rPr>
            </w:pPr>
            <w:r>
              <w:rPr>
                <w:rFonts w:cs="Times New Roman"/>
                <w:sz w:val="22"/>
                <w:szCs w:val="22"/>
              </w:rPr>
              <w:t>TD =</w:t>
            </w:r>
          </w:p>
          <w:p>
            <w:pPr>
              <w:pStyle w:val="Normal"/>
              <w:widowControl w:val="false"/>
              <w:snapToGrid w:val="false"/>
              <w:rPr>
                <w:rFonts w:cs="Times New Roman"/>
                <w:sz w:val="22"/>
                <w:szCs w:val="22"/>
              </w:rPr>
            </w:pPr>
            <w:r>
              <w:rPr>
                <w:rFonts w:cs="Times New Roman"/>
                <w:sz w:val="22"/>
                <w:szCs w:val="22"/>
              </w:rPr>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Pré-requis</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Corpsdetexte"/>
              <w:widowControl w:val="false"/>
              <w:snapToGrid w:val="false"/>
              <w:rPr>
                <w:rFonts w:cs="Times New Roman"/>
                <w:i/>
                <w:i/>
                <w:sz w:val="22"/>
                <w:szCs w:val="22"/>
                <w:lang w:val="fr-FR"/>
              </w:rPr>
            </w:pPr>
            <w:r>
              <w:rPr>
                <w:rFonts w:cs="Times New Roman"/>
                <w:i/>
                <w:sz w:val="22"/>
                <w:szCs w:val="22"/>
                <w:lang w:val="fr-FR"/>
              </w:rPr>
              <w:t>Le séminaire est ouvert aux étudiants inscrits en M1 et en M2 Histoire, aux étudiants d’autres masters dont les maquettes le prévoient, et, sous condition d’autorisation par les enseignants et les responsables concernés, à tout autre étudiant.</w:t>
            </w:r>
          </w:p>
          <w:p>
            <w:pPr>
              <w:pStyle w:val="Normal"/>
              <w:widowControl w:val="false"/>
              <w:snapToGrid w:val="false"/>
              <w:rPr>
                <w:rFonts w:cs="Times New Roman"/>
                <w:i/>
                <w:i/>
                <w:sz w:val="22"/>
                <w:szCs w:val="22"/>
                <w:lang w:val="fr-FR"/>
              </w:rPr>
            </w:pPr>
            <w:r>
              <w:rPr>
                <w:rFonts w:cs="Times New Roman"/>
                <w:i/>
                <w:sz w:val="22"/>
                <w:szCs w:val="22"/>
                <w:lang w:val="fr-FR"/>
              </w:rPr>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Descriptif et/ou objectif(s)</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Corpsdetexte"/>
              <w:widowControl w:val="false"/>
              <w:rPr>
                <w:rFonts w:cs="Times New Roman"/>
                <w:sz w:val="22"/>
                <w:szCs w:val="22"/>
                <w:lang w:val="fr-FR"/>
              </w:rPr>
            </w:pPr>
            <w:r>
              <w:rPr>
                <w:rFonts w:cs="Times New Roman"/>
                <w:sz w:val="22"/>
                <w:szCs w:val="22"/>
                <w:lang w:val="fr-FR"/>
              </w:rPr>
              <w:t>Le séminaire est commun au M1 et au M2. Il est organisé sous forme de séances de deux heures hebdomadaires sur le semestre. Certaines séances pourront être dédoublées afin de favoriser le suivi différencié des étudiants en M1 et en M2 et pour accompagner au mieux ces derniers dans la rédaction du mémoire de M2 et la préparation de l’après-Master. Pour favoriser l’intégration entre la formation à la recherche en Master et en doctorat, des doctorants et jeunes docteurs du laboratoire Dypac ou d’autres laboratoires pourront être invités à présenter leurs recherches et leur parcours dans le cadre du séminaire. Le séminaire est validé en contrôle continu selon des modalités définies au début de chaque semestre (exemples : fiches de lecture d’ouvrage important d’histoire médiévale, présentation d’un exemplaire conservé dans une institution patrimoniale de la région, etc.). La participation active des étudiants est attendue et prise en compte. L’assiduité est obligatoire.</w:t>
            </w:r>
          </w:p>
          <w:p>
            <w:pPr>
              <w:pStyle w:val="Corpsdetexte"/>
              <w:widowControl w:val="false"/>
              <w:rPr>
                <w:rFonts w:cs="Times New Roman"/>
                <w:sz w:val="22"/>
                <w:szCs w:val="22"/>
                <w:lang w:val="fr-FR"/>
              </w:rPr>
            </w:pPr>
            <w:r>
              <w:rPr>
                <w:rFonts w:cs="Times New Roman"/>
                <w:sz w:val="22"/>
                <w:szCs w:val="22"/>
                <w:lang w:val="fr-FR"/>
              </w:rPr>
              <w:t>Ce séminaire, dont les thématiques changent chaque année, propose une formation à la recherche en histoire médiévale. Il vise à donner aux étudiants les outils et méthodes nécessaires pour mener à bien une première recherche personnelle, tout en enrichissant leur culture historique. Le séminaire alterne des séances à caractère pratique (l’état de l’art en histoire médiévale, les outils bibliographiques spécifiques, etc.), avec des séances de lecture et de discussion collectives autour des grands textes et questions d’histoire médiévale et de l’historiographie récente, et des dossiers thématiques. Une attention particulière est consacrée à la particularité et à la matérialité des sources médiévales. Outre les sources écrites (documents d’archives, livres manuscrits, premiers imprimés etc.), on s’intéresse aux images et à leur utilisation par l’historien. Des visites à des institutions patrimoniales (Archives départementales et nationales, Réserves des bibliothèques spécialisées, Départements des manuscrits) font également partie intégrante du séminaire.</w:t>
            </w:r>
          </w:p>
          <w:p>
            <w:pPr>
              <w:pStyle w:val="Normal"/>
              <w:widowControl w:val="false"/>
              <w:rPr>
                <w:rFonts w:cs="Times New Roman"/>
                <w:sz w:val="22"/>
                <w:szCs w:val="22"/>
                <w:lang w:val="fr-FR"/>
              </w:rPr>
            </w:pPr>
            <w:r>
              <w:rPr>
                <w:rFonts w:cs="Times New Roman"/>
                <w:sz w:val="22"/>
                <w:szCs w:val="22"/>
                <w:lang w:val="fr-FR"/>
              </w:rPr>
            </w:r>
          </w:p>
        </w:tc>
      </w:tr>
      <w:tr>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lang w:val="fr-FR"/>
              </w:rPr>
            </w:pPr>
            <w:r>
              <w:rPr>
                <w:rFonts w:cs="Times New Roman"/>
                <w:b/>
                <w:sz w:val="22"/>
                <w:szCs w:val="22"/>
                <w:lang w:val="fr-FR"/>
              </w:rPr>
            </w:r>
          </w:p>
          <w:p>
            <w:pPr>
              <w:pStyle w:val="Normal"/>
              <w:widowControl w:val="false"/>
              <w:snapToGrid w:val="false"/>
              <w:rPr>
                <w:rFonts w:cs="Times New Roman"/>
                <w:b/>
                <w:b/>
                <w:sz w:val="22"/>
                <w:szCs w:val="22"/>
                <w:lang w:val="fr-FR"/>
              </w:rPr>
            </w:pPr>
            <w:r>
              <w:rPr>
                <w:rFonts w:cs="Times New Roman"/>
                <w:b/>
                <w:sz w:val="22"/>
                <w:szCs w:val="22"/>
                <w:lang w:val="fr-FR"/>
              </w:rPr>
              <w:t xml:space="preserve">Contrôle des connaissances </w:t>
            </w:r>
            <w:r>
              <w:rPr>
                <w:rFonts w:cs="Times New Roman"/>
                <w:b/>
                <w:color w:val="FF0000"/>
                <w:sz w:val="22"/>
                <w:szCs w:val="22"/>
              </w:rPr>
              <w:t>*</w:t>
            </w:r>
          </w:p>
          <w:p>
            <w:pPr>
              <w:pStyle w:val="Normal"/>
              <w:widowControl w:val="false"/>
              <w:snapToGrid w:val="false"/>
              <w:rPr>
                <w:rFonts w:cs="Times New Roman"/>
                <w:bCs/>
                <w:i/>
                <w:i/>
                <w:iCs/>
                <w:sz w:val="22"/>
                <w:szCs w:val="22"/>
                <w:lang w:val="fr-FR"/>
              </w:rPr>
            </w:pPr>
            <w:r>
              <w:rPr>
                <w:rFonts w:cs="Times New Roman"/>
                <w:bCs/>
                <w:i/>
                <w:iCs/>
                <w:sz w:val="22"/>
                <w:szCs w:val="22"/>
                <w:lang w:val="fr-FR"/>
              </w:rPr>
              <w:t>(Sous réserve de modification)</w:t>
            </w:r>
          </w:p>
          <w:p>
            <w:pPr>
              <w:pStyle w:val="Normal"/>
              <w:widowControl w:val="false"/>
              <w:snapToGrid w:val="false"/>
              <w:rPr>
                <w:rFonts w:cs="Times New Roman"/>
                <w:b/>
                <w:b/>
                <w:sz w:val="22"/>
                <w:szCs w:val="22"/>
                <w:lang w:val="fr-FR"/>
              </w:rPr>
            </w:pPr>
            <w:r>
              <w:rPr>
                <w:rFonts w:cs="Times New Roman"/>
                <w:b/>
                <w:sz w:val="22"/>
                <w:szCs w:val="22"/>
                <w:lang w:val="fr-FR"/>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lang w:val="fr-FR"/>
              </w:rPr>
            </w:pPr>
            <w:r>
              <w:rPr>
                <w:rFonts w:cs="Times New Roman"/>
                <w:sz w:val="22"/>
                <w:szCs w:val="22"/>
                <w:lang w:val="fr-FR"/>
              </w:rPr>
              <w:t>Contrôle continu : fiche de lecture et travail personnel</w:t>
            </w:r>
          </w:p>
        </w:tc>
      </w:tr>
      <w:tr>
        <w:trPr>
          <w:trHeight w:val="396" w:hRule="atLeast"/>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Bibliographie</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2"/>
                <w:szCs w:val="22"/>
              </w:rPr>
            </w:pPr>
            <w:r>
              <w:rPr>
                <w:rFonts w:cs="Times New Roman"/>
                <w:sz w:val="22"/>
                <w:szCs w:val="22"/>
              </w:rPr>
            </w:r>
          </w:p>
        </w:tc>
      </w:tr>
      <w:tr>
        <w:trPr>
          <w:trHeight w:val="396" w:hRule="atLeast"/>
        </w:trPr>
        <w:tc>
          <w:tcPr>
            <w:tcW w:w="37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cs="Times New Roman"/>
                <w:b/>
                <w:b/>
                <w:sz w:val="22"/>
                <w:szCs w:val="22"/>
              </w:rPr>
            </w:pPr>
            <w:r>
              <w:rPr>
                <w:rFonts w:cs="Times New Roman"/>
                <w:b/>
                <w:sz w:val="22"/>
                <w:szCs w:val="22"/>
              </w:rPr>
            </w:r>
          </w:p>
          <w:p>
            <w:pPr>
              <w:pStyle w:val="Normal"/>
              <w:widowControl w:val="false"/>
              <w:snapToGrid w:val="false"/>
              <w:rPr>
                <w:rFonts w:cs="Times New Roman"/>
                <w:b/>
                <w:b/>
                <w:sz w:val="22"/>
                <w:szCs w:val="22"/>
              </w:rPr>
            </w:pPr>
            <w:r>
              <w:rPr>
                <w:rFonts w:cs="Times New Roman"/>
                <w:b/>
                <w:sz w:val="22"/>
                <w:szCs w:val="22"/>
              </w:rPr>
              <w:t>Informations complémentaires</w:t>
            </w:r>
          </w:p>
          <w:p>
            <w:pPr>
              <w:pStyle w:val="Normal"/>
              <w:widowControl w:val="false"/>
              <w:snapToGrid w:val="false"/>
              <w:rPr>
                <w:rFonts w:cs="Times New Roman"/>
                <w:b/>
                <w:b/>
                <w:sz w:val="22"/>
                <w:szCs w:val="22"/>
              </w:rPr>
            </w:pPr>
            <w:r>
              <w:rPr>
                <w:rFonts w:cs="Times New Roman"/>
                <w:b/>
                <w:sz w:val="22"/>
                <w:szCs w:val="22"/>
              </w:rPr>
            </w:r>
          </w:p>
        </w:tc>
        <w:tc>
          <w:tcPr>
            <w:tcW w:w="55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2"/>
                <w:szCs w:val="22"/>
              </w:rPr>
            </w:pPr>
            <w:r>
              <w:rPr>
                <w:rFonts w:cs="Times New Roman"/>
                <w:sz w:val="22"/>
                <w:szCs w:val="22"/>
              </w:rPr>
            </w:r>
          </w:p>
        </w:tc>
      </w:tr>
    </w:tbl>
    <w:p>
      <w:pPr>
        <w:pStyle w:val="Normal"/>
        <w:rPr>
          <w:rFonts w:cs="Times New Roman"/>
          <w:b/>
          <w:b/>
          <w:bCs/>
          <w:color w:val="333399"/>
          <w:sz w:val="28"/>
          <w:szCs w:val="28"/>
          <w:lang w:val="fr-FR"/>
        </w:rPr>
      </w:pPr>
      <w:r>
        <w:rPr>
          <w:rFonts w:cs="Times New Roman"/>
          <w:b/>
          <w:bCs/>
          <w:color w:val="333399"/>
          <w:sz w:val="28"/>
          <w:szCs w:val="28"/>
          <w:lang w:val="fr-FR"/>
        </w:rPr>
        <w:t>FICHE UE</w:t>
      </w:r>
    </w:p>
    <w:p>
      <w:pPr>
        <w:pStyle w:val="Normal"/>
        <w:rPr>
          <w:i/>
          <w:i/>
          <w:iCs/>
        </w:rPr>
      </w:pPr>
      <w:r>
        <w:rPr>
          <w:i/>
          <w:iCs/>
        </w:rPr>
      </w:r>
    </w:p>
    <w:p>
      <w:pPr>
        <w:pStyle w:val="Normal"/>
        <w:rPr>
          <w:i/>
          <w:i/>
          <w:iCs/>
        </w:rPr>
      </w:pPr>
      <w:r>
        <w:rPr>
          <w:b/>
          <w:bCs/>
          <w:i/>
          <w:iCs/>
          <w:color w:val="FF0000"/>
        </w:rPr>
        <w:t>*</w:t>
      </w:r>
      <w:r>
        <w:rPr>
          <w:i/>
          <w:iCs/>
        </w:rPr>
        <w:t>A remplir obligatoirement</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mc:AlternateContent>
        <mc:Choice Requires="wps">
          <w:drawing>
            <wp:anchor behindDoc="1" distT="0" distB="0" distL="0" distR="0" simplePos="0" locked="0" layoutInCell="0" allowOverlap="1" relativeHeight="4" wp14:anchorId="152C538D">
              <wp:simplePos x="0" y="0"/>
              <wp:positionH relativeFrom="margin">
                <wp:align>center</wp:align>
              </wp:positionH>
              <wp:positionV relativeFrom="page">
                <wp:align>bottom</wp:align>
              </wp:positionV>
              <wp:extent cx="5760720" cy="728345"/>
              <wp:effectExtent l="0" t="0" r="4445" b="0"/>
              <wp:wrapNone/>
              <wp:docPr id="1" name="Rectangle 451"/>
              <a:graphic xmlns:a="http://schemas.openxmlformats.org/drawingml/2006/main">
                <a:graphicData uri="http://schemas.microsoft.com/office/word/2010/wordprocessingShape">
                  <wps:wsp>
                    <wps:cNvSpPr/>
                    <wps:spPr>
                      <a:xfrm>
                        <a:off x="0" y="0"/>
                        <a:ext cx="5760000" cy="727560"/>
                      </a:xfrm>
                      <a:prstGeom prst="rect">
                        <a:avLst/>
                      </a:prstGeom>
                      <a:noFill/>
                      <a:ln w="0">
                        <a:noFill/>
                      </a:ln>
                    </wps:spPr>
                    <wps:style>
                      <a:lnRef idx="0"/>
                      <a:fillRef idx="0"/>
                      <a:effectRef idx="0"/>
                      <a:fontRef idx="minor"/>
                    </wps:style>
                    <wps:txbx>
                      <w:txbxContent>
                        <w:p>
                          <w:pPr>
                            <w:pStyle w:val="Contenudecadre"/>
                            <w:jc w:val="right"/>
                            <w:rPr/>
                          </w:pPr>
                          <w:sdt>
                            <w:sdtPr>
                              <w:date w:fullDate="2021-05-12T00:00:00Z">
                                <w:dateFormat w:val="dd MMMM yyyy"/>
                                <w:lid w:val="fr-FR"/>
                                <w:storeMappedDataAs w:val="dateTime"/>
                                <w:calendar w:val="gregorian"/>
                              </w:date>
                            </w:sdtPr>
                            <w:sdtContent>
                              <w:r>
                                <w:rPr>
                                  <w:lang w:val="fr-FR"/>
                                </w:rPr>
                              </w:r>
                              <w:r>
                                <w:rPr>
                                  <w:lang w:val="fr-FR"/>
                                </w:rPr>
                                <w:t>12 mai 2021</w:t>
                              </w:r>
                              <w:r>
                                <w:rPr>
                                  <w:lang w:val="fr-FR"/>
                                </w:rPr>
                              </w:r>
                            </w:sdtContent>
                          </w:sdt>
                        </w:p>
                      </w:txbxContent>
                    </wps:txbx>
                    <wps:bodyPr tIns="0" upright="1">
                      <a:noAutofit/>
                    </wps:bodyPr>
                  </wps:wsp>
                </a:graphicData>
              </a:graphic>
              <wp14:sizeRelH relativeFrom="margin">
                <wp14:pctWidth>100000</wp14:pctWidth>
              </wp14:sizeRelH>
              <wp14:sizeRelV relativeFrom="bottomMargin">
                <wp14:pctHeight>81000</wp14:pctHeight>
              </wp14:sizeRelV>
            </wp:anchor>
          </w:drawing>
        </mc:Choice>
        <mc:Fallback>
          <w:pict>
            <v:rect id="shape_0" ID="Rectangle 451" path="m0,0l-2147483645,0l-2147483645,-2147483646l0,-2147483646xe" stroked="f" style="position:absolute;margin-left:0pt;margin-top:784.55pt;width:453.5pt;height:57.25pt;mso-wrap-style:square;v-text-anchor:top;mso-position-horizontal:center;mso-position-horizontal-relative:margin;mso-position-vertical:bottom;mso-position-vertical-relative:page" wp14:anchorId="152C538D">
              <v:fill o:detectmouseclick="t" on="false"/>
              <v:stroke color="#3465a4" joinstyle="round" endcap="flat"/>
              <v:textbox>
                <w:txbxContent>
                  <w:p>
                    <w:pPr>
                      <w:pStyle w:val="Contenudecadre"/>
                      <w:jc w:val="right"/>
                      <w:rPr/>
                    </w:pPr>
                    <w:sdt>
                      <w:sdtPr>
                        <w:date w:fullDate="2021-05-12T00:00:00Z">
                          <w:dateFormat w:val="dd MMMM yyyy"/>
                          <w:lid w:val="fr-FR"/>
                          <w:storeMappedDataAs w:val="dateTime"/>
                          <w:calendar w:val="gregorian"/>
                        </w:date>
                      </w:sdtPr>
                      <w:sdtContent>
                        <w:r>
                          <w:rPr>
                            <w:lang w:val="fr-FR"/>
                          </w:rPr>
                        </w:r>
                        <w:r>
                          <w:rPr>
                            <w:lang w:val="fr-FR"/>
                          </w:rPr>
                          <w:t>12 mai 2021</w:t>
                        </w:r>
                        <w:r>
                          <w:rPr>
                            <w:lang w:val="fr-FR"/>
                          </w:rPr>
                        </w:r>
                      </w:sdtContent>
                    </w:sdt>
                  </w:p>
                </w:txbxContent>
              </v:textbox>
              <w10:wrap type="none"/>
            </v:rect>
          </w:pict>
        </mc:Fallback>
      </mc:AlternateContent>
      <mc:AlternateContent>
        <mc:Choice Requires="wpg">
          <w:drawing>
            <wp:anchor behindDoc="1" distT="7620" distB="7620" distL="7620" distR="7620" simplePos="0" locked="0" layoutInCell="0" allowOverlap="1" relativeHeight="6" wp14:anchorId="799A9AFE">
              <wp:simplePos x="0" y="0"/>
              <wp:positionH relativeFrom="rightMargin">
                <wp:align>left</wp:align>
              </wp:positionH>
              <wp:positionV relativeFrom="page">
                <wp:align>bottom</wp:align>
              </wp:positionV>
              <wp:extent cx="73660" cy="699770"/>
              <wp:effectExtent l="0" t="0" r="22225" b="10795"/>
              <wp:wrapNone/>
              <wp:docPr id="3" name="Groupe 223"/>
              <a:graphic xmlns:a="http://schemas.openxmlformats.org/drawingml/2006/main">
                <a:graphicData uri="http://schemas.microsoft.com/office/word/2010/wordprocessingGroup">
                  <wpg:wgp>
                    <wpg:cNvGrpSpPr/>
                    <wpg:grpSpPr>
                      <a:xfrm>
                        <a:off x="0" y="0"/>
                        <a:ext cx="73080" cy="699120"/>
                        <a:chOff x="0" y="9981720"/>
                        <a:chExt cx="73080" cy="699120"/>
                      </a:xfrm>
                    </wpg:grpSpPr>
                    <wps:wsp>
                      <wps:cNvSpPr/>
                      <wps:spPr>
                        <a:xfrm>
                          <a:off x="0" y="0"/>
                          <a:ext cx="720" cy="699120"/>
                        </a:xfrm>
                        <a:custGeom>
                          <a:avLst/>
                          <a:gdLst/>
                          <a:ahLst/>
                          <a:rect l="l" t="t" r="r" b="b"/>
                          <a:pathLst>
                            <a:path w="21600" h="21600">
                              <a:moveTo>
                                <a:pt x="0" y="0"/>
                              </a:moveTo>
                              <a:lnTo>
                                <a:pt x="21600" y="21600"/>
                              </a:lnTo>
                            </a:path>
                          </a:pathLst>
                        </a:custGeom>
                        <a:noFill/>
                        <a:ln w="15875">
                          <a:solidFill>
                            <a:srgbClr val="70ad47">
                              <a:lumMod val="60000"/>
                              <a:lumOff val="40000"/>
                            </a:srgbClr>
                          </a:solidFill>
                          <a:round/>
                        </a:ln>
                      </wps:spPr>
                      <wps:style>
                        <a:lnRef idx="0"/>
                        <a:fillRef idx="0"/>
                        <a:effectRef idx="0"/>
                        <a:fontRef idx="minor"/>
                      </wps:style>
                      <wps:bodyPr/>
                    </wps:wsp>
                    <wps:wsp>
                      <wps:cNvSpPr/>
                      <wps:spPr>
                        <a:xfrm>
                          <a:off x="36720" y="0"/>
                          <a:ext cx="720" cy="699120"/>
                        </a:xfrm>
                        <a:custGeom>
                          <a:avLst/>
                          <a:gdLst/>
                          <a:ahLst/>
                          <a:rect l="l" t="t" r="r" b="b"/>
                          <a:pathLst>
                            <a:path w="21600" h="21600">
                              <a:moveTo>
                                <a:pt x="0" y="0"/>
                              </a:moveTo>
                              <a:lnTo>
                                <a:pt x="21600" y="21600"/>
                              </a:lnTo>
                            </a:path>
                          </a:pathLst>
                        </a:custGeom>
                        <a:noFill/>
                        <a:ln w="15875">
                          <a:solidFill>
                            <a:srgbClr val="70ad47">
                              <a:lumMod val="60000"/>
                              <a:lumOff val="40000"/>
                            </a:srgbClr>
                          </a:solidFill>
                          <a:round/>
                        </a:ln>
                      </wps:spPr>
                      <wps:style>
                        <a:lnRef idx="0"/>
                        <a:fillRef idx="0"/>
                        <a:effectRef idx="0"/>
                        <a:fontRef idx="minor"/>
                      </wps:style>
                      <wps:bodyPr/>
                    </wps:wsp>
                    <wps:wsp>
                      <wps:cNvSpPr/>
                      <wps:spPr>
                        <a:xfrm>
                          <a:off x="72360" y="0"/>
                          <a:ext cx="720" cy="699120"/>
                        </a:xfrm>
                        <a:custGeom>
                          <a:avLst/>
                          <a:gdLst/>
                          <a:ahLst/>
                          <a:rect l="l" t="t" r="r" b="b"/>
                          <a:pathLst>
                            <a:path w="21600" h="21600">
                              <a:moveTo>
                                <a:pt x="0" y="0"/>
                              </a:moveTo>
                              <a:lnTo>
                                <a:pt x="21600" y="21600"/>
                              </a:lnTo>
                            </a:path>
                          </a:pathLst>
                        </a:custGeom>
                        <a:noFill/>
                        <a:ln w="15875">
                          <a:solidFill>
                            <a:srgbClr val="70ad47">
                              <a:lumMod val="60000"/>
                              <a:lumOff val="40000"/>
                            </a:srgbClr>
                          </a:solidFill>
                          <a:round/>
                        </a:ln>
                      </wps:spPr>
                      <wps:style>
                        <a:lnRef idx="0"/>
                        <a:fillRef idx="0"/>
                        <a:effectRef idx="0"/>
                        <a:fontRef idx="minor"/>
                      </wps:style>
                      <wps:bodyPr/>
                    </wps:wsp>
                  </wpg:wgp>
                </a:graphicData>
              </a:graphic>
              <wp14:sizeRelV relativeFrom="bottomMargin">
                <wp14:pctHeight>78000</wp14:pctHeight>
              </wp14:sizeRelV>
            </wp:anchor>
          </w:drawing>
        </mc:Choice>
        <mc:Fallback>
          <w:pict>
            <v:group id="shape_0" alt="Groupe 223" style="position:absolute;margin-left:0pt;margin-top:785.95pt;width:5.75pt;height:55.05pt" coordorigin="0,15719" coordsize="115,1101">
              <v:shapetype id="shapetype_32" coordsize="21600,21600" o:spt="32" path="m,l21600,21600nfe">
                <v:stroke joinstyle="miter"/>
                <v:path gradientshapeok="t" o:connecttype="rect" textboxrect="0,0,21600,21600"/>
              </v:shapetype>
              <v:shape id="shape_0" ID="Forme automatique 2" stroked="t" style="position:absolute;left:0;top:15719;width:0;height:1100;mso-wrap-style:none;v-text-anchor:middle;mso-position-horizontal:left;mso-position-horizontal-relative:page;mso-position-vertical:bottom;mso-position-vertical-relative:page" type="shapetype_32">
                <v:fill o:detectmouseclick="t" on="false"/>
                <v:stroke color="#a9d18e" weight="15840" joinstyle="round" endcap="flat"/>
                <w10:wrap type="none"/>
              </v:shape>
              <v:shape id="shape_0" ID="Forme automatique 3" stroked="t" style="position:absolute;left:58;top:15719;width:0;height:1100;mso-wrap-style:none;v-text-anchor:middle;mso-position-horizontal:left;mso-position-horizontal-relative:page;mso-position-vertical:bottom;mso-position-vertical-relative:page" type="shapetype_32">
                <v:fill o:detectmouseclick="t" on="false"/>
                <v:stroke color="#a9d18e" weight="15840" joinstyle="round" endcap="flat"/>
              </v:shape>
              <v:shape id="shape_0" ID="Forme automatique 4" stroked="t" style="position:absolute;left:114;top:15719;width:0;height:1100;mso-wrap-style:none;v-text-anchor:middle;mso-position-horizontal:left;mso-position-horizontal-relative:page;mso-position-vertical:bottom;mso-position-vertical-relative:page" type="shapetype_32">
                <v:fill o:detectmouseclick="t" on="false"/>
                <v:stroke color="#a9d18e" weight="15840" joinstyle="round" endcap="flat"/>
              </v:shape>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3491"/>
    <w:pPr>
      <w:widowControl w:val="false"/>
      <w:suppressAutoHyphens w:val="true"/>
      <w:bidi w:val="0"/>
      <w:spacing w:lineRule="auto" w:line="240" w:before="0" w:after="0"/>
      <w:jc w:val="left"/>
    </w:pPr>
    <w:rPr>
      <w:rFonts w:ascii="Times New Roman" w:hAnsi="Times New Roman" w:eastAsia="SimSun" w:cs="Mangal"/>
      <w:color w:val="auto"/>
      <w:kern w:val="2"/>
      <w:sz w:val="24"/>
      <w:szCs w:val="24"/>
      <w:lang w:val="en-US" w:eastAsia="hi-IN" w:bidi="hi-IN"/>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4d5523"/>
    <w:rPr>
      <w:rFonts w:ascii="Times New Roman" w:hAnsi="Times New Roman" w:eastAsia="SimSun" w:cs="Mangal"/>
      <w:kern w:val="2"/>
      <w:sz w:val="24"/>
      <w:szCs w:val="21"/>
      <w:lang w:val="en-US" w:eastAsia="hi-IN" w:bidi="hi-IN"/>
    </w:rPr>
  </w:style>
  <w:style w:type="character" w:styleId="PieddepageCar" w:customStyle="1">
    <w:name w:val="Pied de page Car"/>
    <w:basedOn w:val="DefaultParagraphFont"/>
    <w:link w:val="Pieddepage"/>
    <w:uiPriority w:val="99"/>
    <w:qFormat/>
    <w:rsid w:val="004d5523"/>
    <w:rPr>
      <w:rFonts w:ascii="Times New Roman" w:hAnsi="Times New Roman" w:eastAsia="SimSun" w:cs="Mangal"/>
      <w:kern w:val="2"/>
      <w:sz w:val="24"/>
      <w:szCs w:val="21"/>
      <w:lang w:val="en-US" w:eastAsia="hi-I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a21cf"/>
    <w:pPr>
      <w:spacing w:before="0" w:after="0"/>
      <w:ind w:left="720" w:hanging="0"/>
      <w:contextualSpacing/>
    </w:pPr>
    <w:rPr>
      <w:szCs w:val="21"/>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4d5523"/>
    <w:pPr>
      <w:tabs>
        <w:tab w:val="clear" w:pos="708"/>
        <w:tab w:val="center" w:pos="4536" w:leader="none"/>
        <w:tab w:val="right" w:pos="9072" w:leader="none"/>
      </w:tabs>
    </w:pPr>
    <w:rPr>
      <w:szCs w:val="21"/>
    </w:rPr>
  </w:style>
  <w:style w:type="paragraph" w:styleId="Pieddepage">
    <w:name w:val="Footer"/>
    <w:basedOn w:val="Normal"/>
    <w:link w:val="PieddepageCar"/>
    <w:uiPriority w:val="99"/>
    <w:unhideWhenUsed/>
    <w:rsid w:val="004d5523"/>
    <w:pPr>
      <w:tabs>
        <w:tab w:val="clear" w:pos="708"/>
        <w:tab w:val="center" w:pos="4536" w:leader="none"/>
        <w:tab w:val="right" w:pos="9072" w:leader="none"/>
      </w:tabs>
    </w:pPr>
    <w:rPr>
      <w:szCs w:val="21"/>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2021-05-12T00:00:00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LibreOffice/7.1.4.2$Windows_X86_64 LibreOffice_project/a529a4fab45b75fefc5b6226684193eb000654f6</Application>
  <AppVersion>15.0000</AppVersion>
  <Pages>2</Pages>
  <Words>446</Words>
  <Characters>2593</Characters>
  <CharactersWithSpaces>3003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2021-03-31T09:49:00Z</dcterms:created>
  <dc:creator>carole mendy</dc:creator>
  <dc:description/>
  <dc:language>fr-FR</dc:language>
  <cp:lastModifiedBy/>
  <dcterms:modified xsi:type="dcterms:W3CDTF">2021-09-08T08:30:46Z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