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707"/>
        <w:gridCol w:w="5524"/>
      </w:tblGrid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Code 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LHHIS509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Intitulé complet de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Préprofessionnalisation professeur des écoles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responsible(s)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Catherine RIDEAU-KIKUCHI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dispensant l’UE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(à remplir si plusieurs)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Georges PAPAZOFF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Parcours dans lequel s’inscrit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L3, parcours « Enseignement et recherche »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Semestre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total d’ECTS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Langue(s) d’enseignement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Français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horaire total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CM =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TD = 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Pré-requis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et/ou objectif(s)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Sensibilisation au métier à travers des thématiques :  enseigner, apprendre, l’autorité, l’institution, la démocratie scolaire, l’école maternelle, les paradoxes du métier, la discipline scolaire, pédagogie et didactique. 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Contrôle des connaissances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(Sous réserve de modification)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Devoir sur table</w:t>
            </w: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Philippe Meirieu. Apprendre,  oui mais comment ? ESF 1993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Philippe Meirieu. Lettre à un jeune professeur.  ESF. 2005</w:t>
            </w: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Informations complémentaires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  <w:t xml:space="preserve">FICHE UE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remplir obligatoirement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