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LHHIS323 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22"/>
                <w:u w:val="none"/>
                <w:em w:val="none"/>
                <w:lang w:val="fr-FR"/>
              </w:rPr>
              <w:t>Histoire des institutions et métiers culturels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Enseignant(e)s responsible(s)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Sylvain Hilaire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Sylvain Hilaire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L2 Histoire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S5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CM = 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 w:ascii="CIDFont+F1" w:hAnsi="CIDFont+F1"/>
                <w:b/>
                <w:bCs/>
                <w:sz w:val="22"/>
                <w:szCs w:val="22"/>
                <w:lang w:val="fr-FR"/>
              </w:rPr>
              <w:t xml:space="preserve">Cours / Séance 1 : Introduction historique aux politiques culturelles et patrimoniales. </w:t>
            </w:r>
            <w:r>
              <w:rPr>
                <w:rFonts w:cs="Times New Roman" w:ascii="CIDFont+F1" w:hAnsi="CIDFont+F1"/>
                <w:sz w:val="22"/>
                <w:szCs w:val="22"/>
                <w:lang w:val="fr-FR"/>
              </w:rPr>
              <w:br/>
            </w:r>
            <w:r>
              <w:rPr>
                <w:rFonts w:ascii="CIDFont+F2" w:hAnsi="CIDFont+F2"/>
                <w:sz w:val="22"/>
              </w:rPr>
              <w:t>Une émergence historique ancienne ; Histoire contemporaine de la culture, « l’Etat culturel : une. exception française » ? ; 1</w:t>
            </w:r>
            <w:r>
              <w:rPr>
                <w:rFonts w:ascii="CIDFont+F2" w:hAnsi="CIDFont+F2"/>
                <w:sz w:val="14"/>
              </w:rPr>
              <w:t xml:space="preserve">ère </w:t>
            </w:r>
            <w:r>
              <w:rPr>
                <w:rFonts w:ascii="CIDFont+F2" w:hAnsi="CIDFont+F2"/>
                <w:sz w:val="22"/>
              </w:rPr>
              <w:t>approche des nouvelles perspectives culturelles / patrimoniales</w:t>
            </w:r>
          </w:p>
          <w:p>
            <w:pPr>
              <w:pStyle w:val="Normal"/>
              <w:widowControl w:val="false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2 : Typologies des politiques, métiers et institutions culturelles en France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Approche catégorielle/typologique : Le patrimoine culturel ; La diversité culturelle ; La création/éducation artistique ; Les industries culturelles ; Le mécénat culturel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3 : Politiques culturelles et collectivités locales/régionales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Acteurs et politiques culturelles des Régions et des Départements, à l’échelle communale et intercommunale (Etude de cas des acteurs et politiques culturelles Ile-de-France / Yvelines / SQY)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4 : Contexte européen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2" w:hAnsi="CIDFont+F2"/>
                <w:b/>
                <w:bCs/>
                <w:sz w:val="22"/>
              </w:rPr>
              <w:t>Politiques, acteurs et institutions culturelles européennes (</w:t>
            </w:r>
            <w:r>
              <w:rPr>
                <w:rFonts w:ascii="CIDFont+F4" w:hAnsi="CIDFont+F4"/>
                <w:b/>
                <w:bCs/>
                <w:sz w:val="22"/>
              </w:rPr>
              <w:t>Europe Créative</w:t>
            </w:r>
            <w:r>
              <w:rPr>
                <w:rFonts w:ascii="CIDFont+F2" w:hAnsi="CIDFont+F2"/>
                <w:b/>
                <w:bCs/>
                <w:sz w:val="22"/>
              </w:rPr>
              <w:t xml:space="preserve">, EAC, </w:t>
            </w:r>
            <w:r>
              <w:rPr>
                <w:rFonts w:ascii="CIDFont+F4" w:hAnsi="CIDFont+F4"/>
                <w:b/>
                <w:bCs/>
                <w:sz w:val="22"/>
              </w:rPr>
              <w:t>Herein</w:t>
            </w:r>
            <w:r>
              <w:rPr>
                <w:rFonts w:ascii="CIDFont+F2" w:hAnsi="CIDFont+F2"/>
                <w:b/>
                <w:bCs/>
                <w:sz w:val="22"/>
              </w:rPr>
              <w:t>…)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 xml:space="preserve">Focus : - Le cas du programme-cadre </w:t>
            </w:r>
            <w:r>
              <w:rPr>
                <w:rFonts w:ascii="CIDFont+F4" w:hAnsi="CIDFont+F4"/>
                <w:sz w:val="22"/>
              </w:rPr>
              <w:t xml:space="preserve">Europe Créative </w:t>
            </w:r>
            <w:r>
              <w:rPr>
                <w:rFonts w:ascii="CIDFont+F2" w:hAnsi="CIDFont+F2"/>
                <w:sz w:val="22"/>
              </w:rPr>
              <w:t>(Conseil de l’Europe / Parlement européen) ; Le cas de la Maison-Musée Jean Monnet (78) / Politique culturelle et patrimoniale du Parlement européen ; Etude de cas comparatifs en Europe (Italie ; Espagne, Belgique, Allemagne…)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5 : Contexte international</w:t>
            </w:r>
          </w:p>
          <w:p>
            <w:pPr>
              <w:pStyle w:val="Normal"/>
              <w:jc w:val="left"/>
              <w:rPr/>
            </w:pPr>
            <w:r>
              <w:rPr>
                <w:rFonts w:ascii="CIDFont+F2" w:hAnsi="CIDFont+F2"/>
                <w:b w:val="false"/>
                <w:bCs w:val="false"/>
                <w:sz w:val="22"/>
              </w:rPr>
              <w:t xml:space="preserve">Politiques, acteurs et institutions internationales (UNESCO ; ICOM ; ICOMOS…) ; </w:t>
            </w:r>
            <w:r>
              <w:rPr>
                <w:rFonts w:ascii="CIDFont+F2" w:hAnsi="CIDFont+F2"/>
                <w:sz w:val="22"/>
              </w:rPr>
              <w:t>Focus : - Le cas du Conseil International des Monuments et des Sites (ICOMOS) ; Etude de cas comparatifs dans le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monde (Etats-Unis ; Canada ; Chine ; Japon…)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6 : Institutions et filières muséales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Rappels historiques sur la création d’une vieille institution culturelle ; Détaille des types muséographiques ; musées d’art ; écomusées, musées d’histoire et de société ; muséums, musées des sciences et techniques ; mis en perspective nouveaux musées et médiations numériques.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7 : Institutions et filières du patrimoine scientifique et technique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Rappels historiques sur un secteur émergent ; Principaux acteurs et institutions ; Exemples ciblés du muséum d’histoire naturelle aux nouveaux lieux Fablab ; Développement de médiations spécifiques.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8 : Etat des lieux des filières professionnelles et métiers culturels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>Etat des lieux des filières métiers dans la culture et le patrimoine ; profils professionnels, formations, concours et débouchés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9 : Perspectives et acteurs des nouvelles médiations culture-nature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 xml:space="preserve">Mise en perspective des nx de conservation, médiations et valorisations entre culture et nature 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/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IDFont+F1" w:hAnsi="CIDFont+F1"/>
                <w:b/>
                <w:bCs/>
                <w:sz w:val="22"/>
              </w:rPr>
              <w:t>Cours / Séance 10 : Perspectives et nouveaux enjeux culturels du XXI</w:t>
            </w:r>
            <w:r>
              <w:rPr>
                <w:rFonts w:ascii="CIDFont+F1" w:hAnsi="CIDFont+F1"/>
                <w:b/>
                <w:bCs/>
                <w:sz w:val="14"/>
              </w:rPr>
              <w:t xml:space="preserve">ème </w:t>
            </w:r>
            <w:r>
              <w:rPr>
                <w:rFonts w:ascii="CIDFont+F1" w:hAnsi="CIDFont+F1"/>
                <w:b/>
                <w:bCs/>
                <w:sz w:val="22"/>
              </w:rPr>
              <w:t>siècle</w:t>
            </w:r>
          </w:p>
          <w:p>
            <w:pPr>
              <w:pStyle w:val="Normal"/>
              <w:jc w:val="left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CIDFont+F2" w:hAnsi="CIDFont+F2"/>
                <w:sz w:val="22"/>
              </w:rPr>
              <w:t xml:space="preserve">Actualités et évolutions culturelles… entre bouleversement Covid et révolution culturelle virtuelle ? </w:t>
            </w:r>
            <w:r>
              <w:rPr>
                <w:rFonts w:cs="Times New Roman" w:ascii="CIDFont+F2" w:hAnsi="CIDFont+F2"/>
                <w:sz w:val="22"/>
                <w:szCs w:val="22"/>
                <w:lang w:val="fr-FR"/>
              </w:rPr>
              <w:t>(R)évolutions culturelles ? Nouvelles technologies, nouveaux acteurs et nouvelles pratiques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terminal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>A remplir obligatoirement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DFont+F1">
    <w:charset w:val="00"/>
    <w:family w:val="roman"/>
    <w:pitch w:val="variable"/>
  </w:font>
  <w:font w:name="CIDFont+F2">
    <w:charset w:val="00"/>
    <w:family w:val="roman"/>
    <w:pitch w:val="variable"/>
  </w:font>
  <w:font w:name="CIDFont+F4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tIns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7620" distB="7620" distL="7620" distR="7620" simplePos="0" locked="0" layoutInCell="0" allowOverlap="1" relativeHeight="9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0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style="position:absolute;left:58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  <v:shape id="shape_0" ID="Forme automatique 4" stroked="t" style="position:absolute;left:114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LibreOffice/7.1.4.2$Windows_X86_64 LibreOffice_project/a529a4fab45b75fefc5b6226684193eb000654f6</Application>
  <AppVersion>15.0000</AppVersion>
  <Pages>3</Pages>
  <Words>490</Words>
  <Characters>2880</Characters>
  <CharactersWithSpaces>3319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2021-03-31T09:49:00Z</dcterms:created>
  <dc:creator>carole mendy</dc:creator>
  <dc:description/>
  <dc:language>fr-FR</dc:language>
  <cp:lastModifiedBy/>
  <dcterms:modified xsi:type="dcterms:W3CDTF">2021-09-06T08:23:51Z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