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708"/>
        <w:gridCol w:w="5524"/>
      </w:tblGrid>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Code UE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uppressAutoHyphens w:val="true"/>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LHHIS110</w:t>
            </w: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Intitulé complet de l’UE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Méthodologie universitaire et formation à l’expression écrite</w:t>
            </w: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Enseignante responsable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Anaïs MORVAN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Anais.Morvan@ac-paris.fr</w:t>
              </w:r>
            </w:hyperlink>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anais.morvan@uvsq.fr</w:t>
              </w:r>
            </w:hyperlink>
          </w:p>
          <w:p>
            <w:pPr>
              <w:spacing w:before="0" w:after="0" w:line="240"/>
              <w:ind w:right="0" w:left="0" w:firstLine="0"/>
              <w:jc w:val="left"/>
              <w:rPr>
                <w:spacing w:val="0"/>
                <w:position w:val="0"/>
                <w:sz w:val="22"/>
                <w:shd w:fill="auto" w:val="clear"/>
              </w:rPr>
            </w:pP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Enseignants dispensant l’UE</w:t>
            </w: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Anaïs MORVAN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Mahaut CAZALS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Virgile MAYO</w:t>
            </w:r>
          </w:p>
          <w:p>
            <w:pPr>
              <w:suppressAutoHyphens w:val="true"/>
              <w:spacing w:before="0" w:after="0" w:line="240"/>
              <w:ind w:right="0" w:left="0" w:firstLine="0"/>
              <w:jc w:val="left"/>
              <w:rPr>
                <w:color w:val="auto"/>
                <w:spacing w:val="0"/>
                <w:position w:val="0"/>
                <w:sz w:val="22"/>
                <w:shd w:fill="auto" w:val="clear"/>
              </w:rPr>
            </w:pP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Parcours dans lequel s’inscrit l’UE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Licence histoire première année</w:t>
            </w: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Semestre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Semestre 1</w:t>
            </w: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Nombre total d’ECTS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Langue d’enseignement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Français</w:t>
            </w: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Volume horaire total </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TD = 18 heures (12 séances de 1h30)</w:t>
            </w:r>
          </w:p>
          <w:p>
            <w:pPr>
              <w:suppressAutoHyphens w:val="true"/>
              <w:spacing w:before="0" w:after="0" w:line="240"/>
              <w:ind w:right="0" w:left="0" w:firstLine="0"/>
              <w:jc w:val="left"/>
              <w:rPr>
                <w:color w:val="auto"/>
                <w:spacing w:val="0"/>
                <w:position w:val="0"/>
                <w:sz w:val="22"/>
                <w:shd w:fill="auto" w:val="clear"/>
              </w:rPr>
            </w:pP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Pré-requis</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Aucun</w:t>
            </w: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Descriptif et/ou objectif(s)</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Cet enseignement vise à permettre aux étudiants de s’adapter aux exigences et méthodes d’une licence générale. Il présente un double objectif puisqu’il allie une initiation aux éléments fondamentaux de la méthodologie universitaire à une reprise des bases de l’expression écrite.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Sur l’année universitaire, cette UE comprend deux grands axes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méthodologie universitaire (12 séances)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formation à l’expression écrite (12 séances)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Selon le TD, le premier semestre est axé sur la méthodologie universitaire ou la formation à l’expression écrite. La partie non traitée le sera au second semestre (UE 208).</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Contrôle des connaissances </w:t>
            </w: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(Sous réserve de modification)</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Contrôle continu</w:t>
            </w:r>
          </w:p>
        </w:tc>
      </w:tr>
      <w:tr>
        <w:trPr>
          <w:trHeight w:val="396" w:hRule="auto"/>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Bibliographie</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 éléments bibliographiques sont communiqués en cours de semestre.</w:t>
            </w:r>
          </w:p>
          <w:p>
            <w:pPr>
              <w:spacing w:before="0" w:after="0" w:line="240"/>
              <w:ind w:right="0" w:left="0" w:firstLine="0"/>
              <w:jc w:val="left"/>
              <w:rPr>
                <w:color w:val="auto"/>
                <w:spacing w:val="0"/>
                <w:position w:val="0"/>
                <w:sz w:val="22"/>
                <w:shd w:fill="auto" w:val="clear"/>
              </w:rPr>
            </w:pPr>
          </w:p>
        </w:tc>
      </w:tr>
      <w:tr>
        <w:trPr>
          <w:trHeight w:val="396" w:hRule="auto"/>
          <w:jc w:val="left"/>
        </w:trPr>
        <w:tc>
          <w:tcPr>
            <w:tcW w:w="3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Informations complémentaires</w:t>
            </w:r>
          </w:p>
          <w:p>
            <w:pPr>
              <w:suppressAutoHyphens w:val="true"/>
              <w:spacing w:before="0" w:after="0" w:line="240"/>
              <w:ind w:right="0" w:left="0" w:firstLine="0"/>
              <w:jc w:val="left"/>
              <w:rPr>
                <w:color w:val="auto"/>
                <w:spacing w:val="0"/>
                <w:position w:val="0"/>
                <w:sz w:val="22"/>
                <w:shd w:fill="auto" w:val="clear"/>
              </w:rPr>
            </w:pPr>
          </w:p>
        </w:tc>
        <w:tc>
          <w:tcPr>
            <w:tcW w:w="55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Les points suivants sont notamment abordés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Méthodologie universitaire : savoir utiliser des ressources, mener une recherche documentaire, constituer et présenter une bibliographie, élaborer une problématique, construire un plan.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Formation à l’expression écrite : connaître les règles de rédaction en histoire, éviter les principales erreurs d’expression (syntaxe, répétition, distinction écrit/oral), enrichir son vocabulaire, savoir bien organiser une copie.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Cette UE donne la possibilité à l’étudiant.e qui présente des difficultés en méthodologie et expression écrite de combler des lacunes.  Elle est l’occasion de s’interroger sur le sens des mots en histoire.  Les supports et les exercices proposés participent au développement d’une culture générale en histoire.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nais.Morvan@ac-paris.fr" Id="docRId0" Type="http://schemas.openxmlformats.org/officeDocument/2006/relationships/hyperlink" /><Relationship TargetMode="External" Target="mailto:anais.morvan@uvsq.fr"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